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widowControl w:val="0"/>
        <w:kinsoku/>
        <w:wordWrap/>
        <w:overflowPunct/>
        <w:topLinePunct w:val="0"/>
        <w:autoSpaceDE/>
        <w:autoSpaceDN/>
        <w:bidi w:val="0"/>
        <w:adjustRightInd/>
        <w:spacing w:line="600" w:lineRule="exact"/>
        <w:ind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4"/>
        <w:spacing w:line="430" w:lineRule="exact"/>
        <w:ind w:left="640" w:right="320" w:firstLine="0" w:firstLineChars="0"/>
        <w:jc w:val="right"/>
        <w:rPr>
          <w:rFonts w:hint="eastAsia"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lang w:val="en-US" w:eastAsia="zh-CN"/>
        </w:rPr>
        <w:t>26</w:t>
      </w:r>
      <w:r>
        <w:rPr>
          <w:rFonts w:hint="eastAsia" w:ascii="楷体_GB2312" w:eastAsia="楷体_GB2312" w:cs="楷体_GB2312"/>
          <w:szCs w:val="32"/>
        </w:rPr>
        <w:t>〕闽</w:t>
      </w:r>
      <w:r>
        <w:rPr>
          <w:rFonts w:hint="eastAsia" w:ascii="楷体_GB2312" w:eastAsia="楷体_GB2312" w:cs="楷体_GB2312"/>
          <w:szCs w:val="32"/>
          <w:lang w:val="en-US" w:eastAsia="zh-CN"/>
        </w:rPr>
        <w:t>厦</w:t>
      </w:r>
      <w:r>
        <w:rPr>
          <w:rFonts w:hint="eastAsia" w:ascii="楷体_GB2312" w:eastAsia="楷体_GB2312" w:cs="楷体_GB2312"/>
          <w:szCs w:val="32"/>
        </w:rPr>
        <w:t>狱减字第</w:t>
      </w:r>
      <w:r>
        <w:rPr>
          <w:rFonts w:hint="eastAsia" w:ascii="楷体_GB2312" w:eastAsia="楷体_GB2312"/>
          <w:szCs w:val="32"/>
          <w:lang w:val="en-US" w:eastAsia="zh-CN"/>
        </w:rPr>
        <w:t>222</w:t>
      </w:r>
      <w:r>
        <w:rPr>
          <w:rFonts w:hint="eastAsia" w:ascii="楷体_GB2312" w:eastAsia="楷体_GB2312" w:cs="楷体_GB2312"/>
          <w:szCs w:val="32"/>
        </w:rPr>
        <w:t>号</w:t>
      </w:r>
    </w:p>
    <w:p>
      <w:pPr>
        <w:pStyle w:val="14"/>
        <w:spacing w:line="430" w:lineRule="exact"/>
        <w:ind w:left="640" w:right="320" w:firstLine="0" w:firstLineChars="0"/>
        <w:jc w:val="right"/>
        <w:rPr>
          <w:rFonts w:hint="eastAsia" w:ascii="楷体_GB2312" w:eastAsia="楷体_GB2312" w:cs="楷体_GB2312"/>
          <w:szCs w:val="32"/>
        </w:rPr>
      </w:pP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szCs w:val="32"/>
        </w:rPr>
      </w:pPr>
      <w:r>
        <w:rPr>
          <w:rFonts w:hint="eastAsia" w:ascii="仿宋_GB2312"/>
          <w:szCs w:val="32"/>
        </w:rPr>
        <w:t>罪犯</w:t>
      </w:r>
      <w:r>
        <w:rPr>
          <w:rFonts w:hint="eastAsia" w:ascii="仿宋_GB2312"/>
          <w:szCs w:val="32"/>
          <w:lang w:val="en-US" w:eastAsia="zh-CN"/>
        </w:rPr>
        <w:t>伍晓华</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w:t>
      </w:r>
      <w:r>
        <w:rPr>
          <w:rFonts w:hint="eastAsia" w:ascii="仿宋_GB2312"/>
          <w:szCs w:val="32"/>
          <w:lang w:val="en-US" w:eastAsia="zh-CN"/>
        </w:rPr>
        <w:t>男</w:t>
      </w:r>
      <w:r>
        <w:rPr>
          <w:rFonts w:hint="eastAsia" w:ascii="仿宋_GB2312"/>
          <w:szCs w:val="32"/>
        </w:rPr>
        <w:t>，</w:t>
      </w:r>
      <w:r>
        <w:rPr>
          <w:rFonts w:hint="eastAsia" w:ascii="仿宋_GB2312"/>
          <w:szCs w:val="32"/>
          <w:lang w:val="en-US" w:eastAsia="zh-CN"/>
        </w:rPr>
        <w:t>1989</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18</w:t>
      </w:r>
      <w:r>
        <w:rPr>
          <w:rFonts w:hint="eastAsia" w:ascii="仿宋_GB2312"/>
          <w:szCs w:val="32"/>
        </w:rPr>
        <w:t>日出生，汉族，</w:t>
      </w:r>
      <w:r>
        <w:rPr>
          <w:rFonts w:hint="eastAsia" w:ascii="仿宋_GB2312"/>
          <w:szCs w:val="32"/>
          <w:lang w:val="en-US" w:eastAsia="zh-CN"/>
        </w:rPr>
        <w:t>初中</w:t>
      </w:r>
      <w:r>
        <w:rPr>
          <w:rFonts w:hint="eastAsia" w:ascii="仿宋_GB2312"/>
          <w:szCs w:val="32"/>
        </w:rPr>
        <w:t>文化，户籍地湖南省耒阳市</w:t>
      </w:r>
      <w:bookmarkStart w:id="0" w:name="_GoBack"/>
      <w:bookmarkEnd w:id="0"/>
      <w:r>
        <w:rPr>
          <w:rFonts w:hint="eastAsia" w:ascii="仿宋_GB2312"/>
          <w:szCs w:val="32"/>
        </w:rPr>
        <w:t>，捕前系</w:t>
      </w:r>
      <w:r>
        <w:rPr>
          <w:rFonts w:hint="eastAsia" w:ascii="仿宋_GB2312"/>
          <w:szCs w:val="32"/>
          <w:lang w:val="en-US" w:eastAsia="zh-CN"/>
        </w:rPr>
        <w:t>务工。曾因犯盗窃罪于2012年6月29日被判处有期徒刑十一个月，并处罚金人民币三千元，2013年3月29日刑满释放。系前科</w:t>
      </w:r>
      <w:r>
        <w:rPr>
          <w:rFonts w:hint="eastAsia" w:ascii="仿宋_GB2312"/>
          <w:szCs w:val="32"/>
        </w:rPr>
        <w:t>。</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cs="仿宋_GB2312"/>
          <w:szCs w:val="32"/>
        </w:rPr>
      </w:pPr>
      <w:r>
        <w:rPr>
          <w:rFonts w:hint="eastAsia" w:ascii="仿宋_GB2312"/>
          <w:szCs w:val="32"/>
          <w:lang w:val="en-US" w:eastAsia="zh-CN"/>
        </w:rPr>
        <w:t>福建省漳州市中级</w:t>
      </w:r>
      <w:r>
        <w:rPr>
          <w:rFonts w:hint="eastAsia" w:ascii="仿宋_GB2312"/>
          <w:szCs w:val="32"/>
        </w:rPr>
        <w:t>人民法院于</w:t>
      </w:r>
      <w:r>
        <w:rPr>
          <w:rFonts w:hint="eastAsia" w:ascii="仿宋_GB2312"/>
          <w:szCs w:val="32"/>
          <w:lang w:val="en-US" w:eastAsia="zh-CN"/>
        </w:rPr>
        <w:t>2021</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21</w:t>
      </w:r>
      <w:r>
        <w:rPr>
          <w:rFonts w:hint="eastAsia" w:ascii="仿宋_GB2312"/>
          <w:szCs w:val="32"/>
        </w:rPr>
        <w:t>日作出（</w:t>
      </w:r>
      <w:r>
        <w:rPr>
          <w:rFonts w:hint="eastAsia" w:ascii="仿宋_GB2312"/>
          <w:szCs w:val="32"/>
          <w:lang w:val="en-US" w:eastAsia="zh-CN"/>
        </w:rPr>
        <w:t>2021</w:t>
      </w:r>
      <w:r>
        <w:rPr>
          <w:rFonts w:hint="eastAsia" w:ascii="仿宋_GB2312"/>
          <w:szCs w:val="32"/>
        </w:rPr>
        <w:t>）</w:t>
      </w:r>
      <w:r>
        <w:rPr>
          <w:rFonts w:hint="eastAsia" w:ascii="仿宋_GB2312"/>
          <w:szCs w:val="32"/>
          <w:lang w:val="en-US" w:eastAsia="zh-CN"/>
        </w:rPr>
        <w:t>闽06</w:t>
      </w:r>
      <w:r>
        <w:rPr>
          <w:rFonts w:hint="eastAsia" w:ascii="仿宋_GB2312"/>
          <w:szCs w:val="32"/>
        </w:rPr>
        <w:t>刑</w:t>
      </w:r>
      <w:r>
        <w:rPr>
          <w:rFonts w:hint="eastAsia" w:ascii="仿宋_GB2312"/>
          <w:szCs w:val="32"/>
          <w:lang w:val="en-US" w:eastAsia="zh-CN"/>
        </w:rPr>
        <w:t>初11号</w:t>
      </w:r>
      <w:r>
        <w:rPr>
          <w:rFonts w:hint="eastAsia" w:ascii="仿宋_GB2312"/>
          <w:szCs w:val="32"/>
        </w:rPr>
        <w:t>刑事判决，以被告人</w:t>
      </w:r>
      <w:r>
        <w:rPr>
          <w:rFonts w:hint="eastAsia" w:ascii="仿宋_GB2312"/>
          <w:szCs w:val="32"/>
          <w:lang w:val="en-US" w:eastAsia="zh-CN"/>
        </w:rPr>
        <w:t>伍晓华</w:t>
      </w:r>
      <w:r>
        <w:rPr>
          <w:rFonts w:hint="eastAsia" w:ascii="仿宋_GB2312"/>
          <w:szCs w:val="32"/>
        </w:rPr>
        <w:t>犯</w:t>
      </w:r>
      <w:r>
        <w:rPr>
          <w:rFonts w:hint="eastAsia" w:ascii="仿宋_GB2312"/>
          <w:szCs w:val="32"/>
          <w:lang w:val="en-US" w:eastAsia="zh-CN"/>
        </w:rPr>
        <w:t>故意杀人</w:t>
      </w:r>
      <w:r>
        <w:rPr>
          <w:rFonts w:hint="eastAsia" w:ascii="仿宋_GB2312"/>
          <w:szCs w:val="32"/>
        </w:rPr>
        <w:t>罪，判处死刑，剥夺政治权利</w:t>
      </w:r>
      <w:r>
        <w:rPr>
          <w:rFonts w:hint="eastAsia" w:ascii="仿宋_GB2312"/>
          <w:szCs w:val="32"/>
          <w:lang w:val="en-US" w:eastAsia="zh-CN"/>
        </w:rPr>
        <w:t>终身；犯盗窃罪,判处有期徒刑一年，并处罚金人民币五千元。决定执行死刑，剥夺政治权利终身</w:t>
      </w:r>
      <w:r>
        <w:rPr>
          <w:rFonts w:hint="eastAsia" w:ascii="仿宋_GB2312"/>
          <w:szCs w:val="32"/>
        </w:rPr>
        <w:t>，</w:t>
      </w:r>
      <w:r>
        <w:rPr>
          <w:rFonts w:hint="eastAsia" w:ascii="仿宋_GB2312"/>
          <w:szCs w:val="32"/>
          <w:lang w:val="en-US" w:eastAsia="zh-CN"/>
        </w:rPr>
        <w:t>并处</w:t>
      </w:r>
      <w:r>
        <w:rPr>
          <w:rFonts w:hint="eastAsia" w:ascii="仿宋_GB2312"/>
          <w:szCs w:val="32"/>
        </w:rPr>
        <w:t>罚金人民币</w:t>
      </w:r>
      <w:r>
        <w:rPr>
          <w:rFonts w:hint="eastAsia" w:ascii="仿宋_GB2312"/>
          <w:szCs w:val="32"/>
          <w:lang w:val="en-US" w:eastAsia="zh-CN"/>
        </w:rPr>
        <w:t>五千元，责令被告人伍晓华退赔盗窃所得人民币22200元。该犯不服，提出上诉。福建省高级人民法院于2021年12月16日作出（2021）闽刑终227号刑事判决，维持漳州市中级人民法院（2021）闽06刑初11号刑事判决第一项中关于盗窃罪定罪量刑部分以及第二项责令退赔盗窃所得之判决；撤销漳州市中级人民法院（2021）闽06刑初11号刑事判决第一项中关于故意杀人罪量刑部分之判决；上诉人伍晓华犯故意杀人罪，判处无期徒刑，剥夺政治权利终身。</w:t>
      </w:r>
      <w:r>
        <w:rPr>
          <w:rFonts w:hint="eastAsia" w:ascii="仿宋_GB2312"/>
          <w:szCs w:val="32"/>
        </w:rPr>
        <w:t>刑期自</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6</w:t>
      </w:r>
      <w:r>
        <w:rPr>
          <w:rFonts w:hint="eastAsia" w:ascii="仿宋_GB2312"/>
          <w:szCs w:val="32"/>
        </w:rPr>
        <w:t>日起。</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17</w:t>
      </w:r>
      <w:r>
        <w:rPr>
          <w:rFonts w:hint="eastAsia" w:ascii="仿宋_GB2312"/>
          <w:szCs w:val="32"/>
        </w:rPr>
        <w:t>日交付福建省</w:t>
      </w:r>
      <w:r>
        <w:rPr>
          <w:rFonts w:hint="eastAsia" w:ascii="仿宋_GB2312"/>
          <w:szCs w:val="32"/>
          <w:lang w:val="en-US" w:eastAsia="zh-CN"/>
        </w:rPr>
        <w:t>厦门</w:t>
      </w:r>
      <w:r>
        <w:rPr>
          <w:rFonts w:hint="eastAsia" w:ascii="仿宋_GB2312"/>
          <w:szCs w:val="32"/>
        </w:rPr>
        <w:t>监狱执行刑罚。属</w:t>
      </w:r>
      <w:r>
        <w:rPr>
          <w:rFonts w:hint="eastAsia" w:ascii="仿宋_GB2312"/>
          <w:szCs w:val="32"/>
          <w:lang w:val="en-US" w:eastAsia="zh-CN"/>
        </w:rPr>
        <w:t>普管</w:t>
      </w:r>
      <w:r>
        <w:rPr>
          <w:rFonts w:hint="eastAsia" w:ascii="仿宋_GB2312"/>
          <w:szCs w:val="32"/>
        </w:rPr>
        <w:t>级罪犯。</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4"/>
        <w:keepNext w:val="0"/>
        <w:keepLines w:val="0"/>
        <w:pageBreakBefore w:val="0"/>
        <w:widowControl w:val="0"/>
        <w:kinsoku/>
        <w:wordWrap/>
        <w:overflowPunct/>
        <w:topLinePunct w:val="0"/>
        <w:autoSpaceDE w:val="0"/>
        <w:autoSpaceDN w:val="0"/>
        <w:bidi w:val="0"/>
        <w:adjustRightInd w:val="0"/>
        <w:snapToGrid/>
        <w:spacing w:line="400" w:lineRule="exact"/>
        <w:ind w:firstLine="640"/>
        <w:jc w:val="left"/>
        <w:textAlignment w:val="auto"/>
        <w:rPr>
          <w:rFonts w:hint="eastAsia" w:ascii="仿宋_GB2312" w:hAnsi="仿宋" w:eastAsia="仿宋_GB2312"/>
          <w:iCs/>
          <w:kern w:val="2"/>
          <w:szCs w:val="32"/>
          <w:lang w:eastAsia="zh-CN"/>
        </w:rPr>
      </w:pPr>
      <w:r>
        <w:rPr>
          <w:rFonts w:hint="eastAsia" w:ascii="仿宋_GB2312" w:hAnsi="仿宋"/>
          <w:iCs/>
          <w:kern w:val="2"/>
          <w:szCs w:val="32"/>
        </w:rPr>
        <w:t>认罪悔罪：能服从法院判决，自书认罪悔罪书</w:t>
      </w:r>
      <w:r>
        <w:rPr>
          <w:rFonts w:hint="eastAsia" w:ascii="仿宋_GB2312" w:hAnsi="仿宋"/>
          <w:iCs/>
          <w:kern w:val="2"/>
          <w:szCs w:val="32"/>
          <w:lang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40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4"/>
        <w:keepNext w:val="0"/>
        <w:keepLines w:val="0"/>
        <w:pageBreakBefore w:val="0"/>
        <w:widowControl w:val="0"/>
        <w:kinsoku/>
        <w:wordWrap/>
        <w:overflowPunct/>
        <w:topLinePunct w:val="0"/>
        <w:autoSpaceDE w:val="0"/>
        <w:autoSpaceDN w:val="0"/>
        <w:bidi w:val="0"/>
        <w:adjustRightInd w:val="0"/>
        <w:snapToGrid/>
        <w:spacing w:line="40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4"/>
        <w:keepNext w:val="0"/>
        <w:keepLines w:val="0"/>
        <w:pageBreakBefore w:val="0"/>
        <w:widowControl w:val="0"/>
        <w:kinsoku/>
        <w:wordWrap/>
        <w:overflowPunct/>
        <w:topLinePunct w:val="0"/>
        <w:bidi w:val="0"/>
        <w:snapToGrid/>
        <w:spacing w:line="400" w:lineRule="exact"/>
        <w:ind w:firstLine="640"/>
        <w:jc w:val="left"/>
        <w:textAlignment w:val="auto"/>
        <w:rPr>
          <w:rFonts w:hint="eastAsia"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4"/>
        <w:keepNext w:val="0"/>
        <w:keepLines w:val="0"/>
        <w:pageBreakBefore w:val="0"/>
        <w:widowControl w:val="0"/>
        <w:kinsoku/>
        <w:wordWrap/>
        <w:overflowPunct/>
        <w:topLinePunct w:val="0"/>
        <w:bidi w:val="0"/>
        <w:snapToGrid/>
        <w:spacing w:line="400" w:lineRule="exact"/>
        <w:ind w:firstLine="640"/>
        <w:jc w:val="left"/>
        <w:textAlignment w:val="auto"/>
        <w:rPr>
          <w:rFonts w:ascii="仿宋_GB2312" w:hAnsi="仿宋_GB2312" w:cs="仿宋_GB2312"/>
          <w:bCs/>
          <w:szCs w:val="32"/>
        </w:rPr>
      </w:pPr>
      <w:r>
        <w:rPr>
          <w:rFonts w:hint="eastAsia" w:ascii="仿宋_GB2312" w:hAnsi="仿宋_GB2312" w:cs="仿宋_GB2312"/>
          <w:bCs/>
          <w:szCs w:val="32"/>
          <w:lang w:val="zh-CN"/>
        </w:rPr>
        <w:t>奖惩情况：</w:t>
      </w:r>
      <w:r>
        <w:rPr>
          <w:rFonts w:hint="eastAsia" w:ascii="仿宋_GB2312" w:hAnsi="仿宋_GB2312" w:cs="仿宋_GB2312"/>
          <w:bCs/>
          <w:szCs w:val="32"/>
        </w:rPr>
        <w:t>该犯考核期</w:t>
      </w:r>
      <w:r>
        <w:rPr>
          <w:rFonts w:hint="eastAsia" w:ascii="仿宋_GB2312" w:hAnsi="仿宋_GB2312" w:cs="仿宋_GB2312"/>
          <w:bCs/>
          <w:szCs w:val="32"/>
          <w:lang w:val="en-US" w:eastAsia="zh-CN"/>
        </w:rPr>
        <w:t>2022</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w:t>
      </w:r>
      <w:r>
        <w:rPr>
          <w:rFonts w:hint="eastAsia" w:ascii="仿宋_GB2312" w:hAnsi="仿宋_GB2312" w:cs="仿宋_GB2312"/>
          <w:bCs/>
          <w:szCs w:val="32"/>
          <w:lang w:val="en-US" w:eastAsia="zh-CN"/>
        </w:rPr>
        <w:t>17</w:t>
      </w:r>
      <w:r>
        <w:rPr>
          <w:rFonts w:hint="eastAsia" w:ascii="仿宋_GB2312" w:hAnsi="仿宋_GB2312" w:cs="仿宋_GB2312"/>
          <w:bCs/>
          <w:szCs w:val="32"/>
        </w:rPr>
        <w:t>日至</w:t>
      </w:r>
      <w:r>
        <w:rPr>
          <w:rFonts w:hint="eastAsia" w:ascii="仿宋_GB2312" w:hAnsi="仿宋_GB2312" w:cs="仿宋_GB2312"/>
          <w:bCs/>
          <w:szCs w:val="32"/>
          <w:lang w:val="en-US" w:eastAsia="zh-CN"/>
        </w:rPr>
        <w:t>2026</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月累计获考核分</w:t>
      </w:r>
      <w:r>
        <w:rPr>
          <w:rFonts w:hint="eastAsia" w:ascii="仿宋_GB2312" w:hAnsi="仿宋_GB2312" w:cs="仿宋_GB2312"/>
          <w:bCs/>
          <w:szCs w:val="32"/>
          <w:lang w:val="en-US" w:eastAsia="zh-CN"/>
        </w:rPr>
        <w:t>4709</w:t>
      </w:r>
      <w:r>
        <w:rPr>
          <w:rFonts w:hint="eastAsia" w:ascii="仿宋_GB2312" w:hAnsi="仿宋_GB2312" w:cs="仿宋_GB2312"/>
          <w:bCs/>
          <w:szCs w:val="32"/>
        </w:rPr>
        <w:t>分，表扬</w:t>
      </w:r>
      <w:r>
        <w:rPr>
          <w:rFonts w:hint="eastAsia" w:ascii="仿宋_GB2312" w:hAnsi="仿宋_GB2312" w:cs="仿宋_GB2312"/>
          <w:bCs/>
          <w:szCs w:val="32"/>
          <w:lang w:val="en-US" w:eastAsia="zh-CN"/>
        </w:rPr>
        <w:t>6</w:t>
      </w:r>
      <w:r>
        <w:rPr>
          <w:rFonts w:hint="eastAsia" w:ascii="仿宋_GB2312" w:hAnsi="仿宋_GB2312" w:cs="仿宋_GB2312"/>
          <w:bCs/>
          <w:szCs w:val="32"/>
        </w:rPr>
        <w:t>次，物质奖励</w:t>
      </w:r>
      <w:r>
        <w:rPr>
          <w:rFonts w:hint="eastAsia" w:ascii="仿宋_GB2312" w:hAnsi="仿宋_GB2312" w:cs="仿宋_GB2312"/>
          <w:bCs/>
          <w:szCs w:val="32"/>
          <w:lang w:val="en-US" w:eastAsia="zh-CN"/>
        </w:rPr>
        <w:t>1</w:t>
      </w:r>
      <w:r>
        <w:rPr>
          <w:rFonts w:hint="eastAsia" w:ascii="仿宋_GB2312" w:hAnsi="仿宋_GB2312" w:cs="仿宋_GB2312"/>
          <w:bCs/>
          <w:szCs w:val="32"/>
        </w:rPr>
        <w:t>次；无违规扣分。</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hint="default" w:ascii="仿宋_GB2312"/>
          <w:sz w:val="44"/>
          <w:szCs w:val="44"/>
          <w:lang w:val="en-US" w:eastAsia="zh-CN"/>
        </w:rPr>
      </w:pPr>
      <w:r>
        <w:rPr>
          <w:rFonts w:hint="eastAsia" w:ascii="仿宋_GB2312"/>
          <w:szCs w:val="32"/>
        </w:rPr>
        <w:t>该犯原判财产性判项</w:t>
      </w:r>
      <w:r>
        <w:rPr>
          <w:rFonts w:hint="eastAsia" w:ascii="仿宋_GB2312"/>
          <w:szCs w:val="32"/>
          <w:lang w:val="en-US" w:eastAsia="zh-CN"/>
        </w:rPr>
        <w:t>罚金人民币5000元，退赔盗窃所得人民币22200元，</w:t>
      </w:r>
      <w:r>
        <w:rPr>
          <w:rFonts w:hint="eastAsia" w:ascii="仿宋_GB2312"/>
          <w:szCs w:val="32"/>
        </w:rPr>
        <w:t>已履行人民币</w:t>
      </w:r>
      <w:r>
        <w:rPr>
          <w:rFonts w:hint="eastAsia" w:ascii="仿宋_GB2312"/>
          <w:szCs w:val="32"/>
          <w:lang w:val="en-US" w:eastAsia="zh-CN"/>
        </w:rPr>
        <w:t>10966.73</w:t>
      </w:r>
      <w:r>
        <w:rPr>
          <w:rFonts w:hint="eastAsia" w:ascii="仿宋_GB2312"/>
          <w:szCs w:val="32"/>
        </w:rPr>
        <w:t>元；其中本次提请向</w:t>
      </w:r>
      <w:r>
        <w:rPr>
          <w:rFonts w:hint="eastAsia" w:ascii="仿宋_GB2312"/>
          <w:szCs w:val="32"/>
          <w:lang w:val="en-US" w:eastAsia="zh-CN"/>
        </w:rPr>
        <w:t>福建省漳州市中级人民</w:t>
      </w:r>
      <w:r>
        <w:rPr>
          <w:rFonts w:hint="eastAsia" w:ascii="仿宋_GB2312"/>
          <w:szCs w:val="32"/>
        </w:rPr>
        <w:t>法院缴纳人民币</w:t>
      </w:r>
      <w:r>
        <w:rPr>
          <w:rFonts w:hint="eastAsia" w:ascii="仿宋_GB2312"/>
          <w:szCs w:val="32"/>
          <w:lang w:val="en-US" w:eastAsia="zh-CN"/>
        </w:rPr>
        <w:t>9500</w:t>
      </w:r>
      <w:r>
        <w:rPr>
          <w:rFonts w:hint="eastAsia" w:ascii="仿宋_GB2312"/>
          <w:szCs w:val="32"/>
        </w:rPr>
        <w:t>元</w:t>
      </w:r>
      <w:r>
        <w:rPr>
          <w:rFonts w:hint="eastAsia" w:ascii="仿宋_GB2312"/>
          <w:szCs w:val="32"/>
          <w:lang w:eastAsia="zh-CN"/>
        </w:rPr>
        <w:t>，</w:t>
      </w:r>
      <w:r>
        <w:rPr>
          <w:rFonts w:hint="eastAsia" w:ascii="仿宋_GB2312"/>
          <w:szCs w:val="32"/>
          <w:lang w:val="en-US" w:eastAsia="zh-CN"/>
        </w:rPr>
        <w:t>其中缴纳罚金人民币3533.27元，缴纳退赔盗窃所得人民币5966.73元。法院依法扣划该犯</w:t>
      </w:r>
      <w:r>
        <w:rPr>
          <w:rFonts w:hint="eastAsia" w:ascii="仿宋_GB2312"/>
          <w:szCs w:val="32"/>
          <w:lang w:eastAsia="zh-CN"/>
        </w:rPr>
        <w:t>名下财付通账户内存款1466.73元，并已将该款上缴国库</w:t>
      </w:r>
      <w:r>
        <w:rPr>
          <w:rFonts w:hint="eastAsia" w:ascii="仿宋_GB2312"/>
          <w:szCs w:val="32"/>
        </w:rPr>
        <w:t>。该犯考核期月均消费人民币</w:t>
      </w:r>
      <w:r>
        <w:rPr>
          <w:rFonts w:hint="eastAsia" w:ascii="仿宋_GB2312"/>
          <w:szCs w:val="32"/>
          <w:lang w:val="en-US" w:eastAsia="zh-CN"/>
        </w:rPr>
        <w:t>240.88</w:t>
      </w:r>
      <w:r>
        <w:rPr>
          <w:rFonts w:hint="eastAsia" w:ascii="仿宋_GB2312"/>
          <w:szCs w:val="32"/>
        </w:rPr>
        <w:t>元，账户可用余额人民币</w:t>
      </w:r>
      <w:r>
        <w:rPr>
          <w:rFonts w:hint="eastAsia" w:ascii="仿宋_GB2312"/>
          <w:szCs w:val="32"/>
          <w:lang w:val="en-US" w:eastAsia="zh-CN"/>
        </w:rPr>
        <w:t>564.83</w:t>
      </w:r>
      <w:r>
        <w:rPr>
          <w:rFonts w:hint="eastAsia" w:ascii="仿宋_GB2312"/>
          <w:szCs w:val="32"/>
        </w:rPr>
        <w:t>元。</w:t>
      </w:r>
      <w:r>
        <w:rPr>
          <w:rFonts w:hint="eastAsia" w:ascii="仿宋_GB2312"/>
          <w:szCs w:val="32"/>
          <w:lang w:val="en-US" w:eastAsia="zh-CN"/>
        </w:rPr>
        <w:t>福建省漳州市中级人民</w:t>
      </w:r>
      <w:r>
        <w:rPr>
          <w:rFonts w:hint="eastAsia" w:ascii="仿宋_GB2312"/>
          <w:szCs w:val="32"/>
        </w:rPr>
        <w:t>法院于</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5</w:t>
      </w:r>
      <w:r>
        <w:rPr>
          <w:rFonts w:hint="eastAsia" w:ascii="仿宋_GB2312"/>
          <w:szCs w:val="32"/>
        </w:rPr>
        <w:t>日财产性判项复函载明：</w:t>
      </w:r>
      <w:r>
        <w:rPr>
          <w:rFonts w:hint="eastAsia" w:ascii="仿宋_GB2312"/>
          <w:szCs w:val="32"/>
          <w:lang w:val="en-US" w:eastAsia="zh-CN"/>
        </w:rPr>
        <w:t>本院通过全国法院网络执行查控系统、福建法院执行司法查控系统查询本案被执行人名下银行存款、车辆及其他交通运输工具、有价证券、不动产信息及工商登记信息等。已依法扣划被执行人名下财付通账户内存款1466.73元，并已将该款上缴国库。除此之外，未发现被执行人有可供执行的财产</w:t>
      </w:r>
      <w:r>
        <w:rPr>
          <w:rFonts w:hint="eastAsia" w:ascii="仿宋_GB2312"/>
          <w:szCs w:val="32"/>
        </w:rPr>
        <w:t>。</w:t>
      </w:r>
      <w:r>
        <w:rPr>
          <w:rFonts w:hint="eastAsia" w:ascii="仿宋_GB2312"/>
          <w:szCs w:val="32"/>
          <w:lang w:val="en-US" w:eastAsia="zh-CN"/>
        </w:rPr>
        <w:t>本院于2025年9月22日作出（2025）闽06执482号执行裁定，裁定终结本次执行程序。后伍晓华又于2026年1月26日向本院交来款项9500元。其中罚金为3533.27元，退赔被害人5966.73元。目前未发现伍晓华存在拒不交代赃款、赃物去向情节，未发现其存在隐瞒、藏匿、转移财产情节，未发现其存在妨害执行情节。</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hint="default" w:ascii="仿宋_GB2312"/>
          <w:szCs w:val="32"/>
          <w:lang w:val="en-US" w:eastAsia="zh-CN"/>
        </w:rPr>
      </w:pPr>
      <w:r>
        <w:rPr>
          <w:rFonts w:hint="default" w:ascii="仿宋_GB2312"/>
          <w:szCs w:val="32"/>
          <w:lang w:val="en-US" w:eastAsia="zh-CN"/>
        </w:rPr>
        <w:t>该犯系因故意杀人且数罪并罚被判处无期徒刑，财产性判项未履行完毕，属于从严掌握减刑对象</w:t>
      </w:r>
      <w:r>
        <w:rPr>
          <w:rFonts w:hint="eastAsia" w:ascii="仿宋_GB2312"/>
          <w:szCs w:val="32"/>
          <w:lang w:val="en-US" w:eastAsia="zh-CN"/>
        </w:rPr>
        <w:t>。</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szCs w:val="32"/>
        </w:rPr>
      </w:pPr>
      <w:r>
        <w:rPr>
          <w:rFonts w:hint="eastAsia" w:ascii="仿宋_GB2312"/>
          <w:szCs w:val="32"/>
        </w:rPr>
        <w:t>本案于</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13</w:t>
      </w:r>
      <w:r>
        <w:rPr>
          <w:rFonts w:hint="eastAsia" w:ascii="仿宋_GB2312"/>
          <w:szCs w:val="32"/>
        </w:rPr>
        <w:t>日至</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17</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《中华人民共和国刑法》第五十七条、第七十八条，《中华人民共和国刑事诉讼法》第二百七十三条第二款和《中华人民共和国监狱法》第二十九条规定，建议对罪犯</w:t>
      </w:r>
      <w:r>
        <w:rPr>
          <w:rFonts w:hint="eastAsia" w:ascii="仿宋_GB2312" w:hAnsi="仿宋_GB2312" w:cs="仿宋_GB2312"/>
          <w:szCs w:val="32"/>
          <w:lang w:val="en-US" w:eastAsia="zh-CN"/>
        </w:rPr>
        <w:t>伍晓华</w:t>
      </w:r>
      <w:r>
        <w:rPr>
          <w:rFonts w:hint="eastAsia" w:ascii="仿宋_GB2312" w:hAnsi="仿宋_GB2312" w:cs="仿宋_GB2312"/>
          <w:szCs w:val="32"/>
        </w:rPr>
        <w:t>减为有期徒刑</w:t>
      </w:r>
      <w:r>
        <w:rPr>
          <w:rFonts w:hint="eastAsia" w:ascii="仿宋_GB2312" w:hAnsi="仿宋_GB2312" w:cs="仿宋_GB2312"/>
          <w:szCs w:val="32"/>
          <w:lang w:val="en-US" w:eastAsia="zh-CN"/>
        </w:rPr>
        <w:t>二十二</w:t>
      </w:r>
      <w:r>
        <w:rPr>
          <w:rFonts w:hint="eastAsia" w:ascii="仿宋_GB2312" w:hAnsi="仿宋_GB2312" w:cs="仿宋_GB2312"/>
          <w:szCs w:val="32"/>
        </w:rPr>
        <w:t>年，剥夺政治权利改为</w:t>
      </w:r>
      <w:r>
        <w:rPr>
          <w:rFonts w:hint="eastAsia" w:ascii="仿宋_GB2312" w:hAnsi="仿宋_GB2312" w:cs="仿宋_GB2312"/>
          <w:szCs w:val="32"/>
          <w:lang w:val="en-US" w:eastAsia="zh-CN"/>
        </w:rPr>
        <w:t>十</w:t>
      </w:r>
      <w:r>
        <w:rPr>
          <w:rFonts w:hint="eastAsia" w:ascii="仿宋_GB2312" w:hAnsi="仿宋_GB2312" w:cs="仿宋_GB2312"/>
          <w:szCs w:val="32"/>
        </w:rPr>
        <w:t>年。</w:t>
      </w:r>
      <w:r>
        <w:rPr>
          <w:rFonts w:hint="eastAsia" w:ascii="仿宋_GB2312"/>
          <w:szCs w:val="32"/>
        </w:rPr>
        <w:t>特提请你院审理裁定。</w:t>
      </w:r>
    </w:p>
    <w:p>
      <w:pPr>
        <w:pStyle w:val="3"/>
        <w:keepNext w:val="0"/>
        <w:keepLines w:val="0"/>
        <w:pageBreakBefore w:val="0"/>
        <w:widowControl w:val="0"/>
        <w:kinsoku/>
        <w:wordWrap/>
        <w:overflowPunct/>
        <w:topLinePunct w:val="0"/>
        <w:bidi w:val="0"/>
        <w:snapToGrid/>
        <w:spacing w:line="400" w:lineRule="exact"/>
        <w:ind w:right="-48" w:rightChars="-15" w:firstLine="640" w:firstLineChars="200"/>
        <w:jc w:val="left"/>
        <w:textAlignment w:val="auto"/>
        <w:rPr>
          <w:rFonts w:ascii="仿宋_GB2312"/>
          <w:szCs w:val="32"/>
        </w:rPr>
      </w:pPr>
      <w:r>
        <w:rPr>
          <w:rFonts w:hint="eastAsia" w:ascii="仿宋_GB2312"/>
          <w:szCs w:val="32"/>
        </w:rPr>
        <w:t>此致</w:t>
      </w:r>
    </w:p>
    <w:p>
      <w:pPr>
        <w:pStyle w:val="14"/>
        <w:keepNext w:val="0"/>
        <w:keepLines w:val="0"/>
        <w:pageBreakBefore w:val="0"/>
        <w:widowControl w:val="0"/>
        <w:kinsoku/>
        <w:wordWrap/>
        <w:overflowPunct/>
        <w:topLinePunct w:val="0"/>
        <w:bidi w:val="0"/>
        <w:snapToGrid/>
        <w:spacing w:line="400" w:lineRule="exact"/>
        <w:ind w:right="-48" w:rightChars="-15" w:firstLine="0" w:firstLineChars="0"/>
        <w:jc w:val="left"/>
        <w:textAlignment w:val="auto"/>
        <w:rPr>
          <w:rFonts w:ascii="仿宋_GB2312"/>
          <w:szCs w:val="32"/>
        </w:rPr>
      </w:pPr>
      <w:r>
        <w:rPr>
          <w:rFonts w:hint="eastAsia" w:ascii="仿宋_GB2312"/>
          <w:szCs w:val="32"/>
        </w:rPr>
        <w:t>福建省高级人民法院</w:t>
      </w:r>
    </w:p>
    <w:p>
      <w:pPr>
        <w:pStyle w:val="14"/>
        <w:keepNext w:val="0"/>
        <w:keepLines w:val="0"/>
        <w:pageBreakBefore w:val="0"/>
        <w:widowControl w:val="0"/>
        <w:kinsoku/>
        <w:wordWrap/>
        <w:overflowPunct/>
        <w:topLinePunct w:val="0"/>
        <w:bidi w:val="0"/>
        <w:snapToGrid/>
        <w:spacing w:line="400" w:lineRule="exact"/>
        <w:ind w:left="0" w:leftChars="0" w:firstLine="640" w:firstLineChars="200"/>
        <w:jc w:val="left"/>
        <w:textAlignment w:val="auto"/>
        <w:rPr>
          <w:rFonts w:ascii="仿宋_GB2312" w:cs="仿宋_GB2312"/>
          <w:szCs w:val="32"/>
        </w:rPr>
      </w:pPr>
      <w:r>
        <w:rPr>
          <w:rFonts w:hint="eastAsia" w:ascii="仿宋_GB2312" w:cs="仿宋_GB2312"/>
          <w:szCs w:val="32"/>
        </w:rPr>
        <w:t>附件：⒈罪犯</w:t>
      </w:r>
      <w:r>
        <w:rPr>
          <w:rFonts w:hint="eastAsia" w:ascii="仿宋_GB2312" w:cs="仿宋_GB2312"/>
          <w:szCs w:val="32"/>
          <w:lang w:val="en-US" w:eastAsia="zh-CN"/>
        </w:rPr>
        <w:t>伍晓华</w:t>
      </w:r>
      <w:r>
        <w:rPr>
          <w:rFonts w:hint="eastAsia" w:ascii="仿宋_GB2312" w:cs="仿宋_GB2312"/>
          <w:szCs w:val="32"/>
        </w:rPr>
        <w:t>卷宗</w:t>
      </w:r>
      <w:r>
        <w:rPr>
          <w:rFonts w:hint="eastAsia" w:ascii="仿宋_GB2312" w:cs="仿宋_GB2312"/>
          <w:szCs w:val="32"/>
          <w:lang w:val="en-US" w:eastAsia="zh-CN"/>
        </w:rPr>
        <w:t>2</w:t>
      </w:r>
      <w:r>
        <w:rPr>
          <w:rFonts w:hint="eastAsia" w:ascii="仿宋_GB2312" w:cs="仿宋_GB2312"/>
          <w:szCs w:val="32"/>
        </w:rPr>
        <w:t>册</w:t>
      </w:r>
    </w:p>
    <w:p>
      <w:pPr>
        <w:pStyle w:val="14"/>
        <w:keepNext w:val="0"/>
        <w:keepLines w:val="0"/>
        <w:pageBreakBefore w:val="0"/>
        <w:widowControl w:val="0"/>
        <w:kinsoku/>
        <w:wordWrap/>
        <w:overflowPunct/>
        <w:topLinePunct w:val="0"/>
        <w:bidi w:val="0"/>
        <w:snapToGrid/>
        <w:spacing w:line="400" w:lineRule="exact"/>
        <w:ind w:left="640" w:right="-48" w:rightChars="-15" w:firstLine="960" w:firstLineChars="300"/>
        <w:jc w:val="left"/>
        <w:textAlignment w:val="auto"/>
        <w:rPr>
          <w:rFonts w:ascii="仿宋_GB2312" w:cs="仿宋_GB2312"/>
          <w:szCs w:val="32"/>
        </w:rPr>
      </w:pPr>
      <w:r>
        <w:rPr>
          <w:rFonts w:hint="eastAsia" w:ascii="仿宋_GB2312" w:cs="仿宋_GB2312"/>
          <w:szCs w:val="32"/>
        </w:rPr>
        <w:t>⒉减刑建议书</w:t>
      </w:r>
      <w:r>
        <w:rPr>
          <w:rFonts w:hint="eastAsia" w:ascii="仿宋_GB2312" w:cs="仿宋_GB2312"/>
          <w:szCs w:val="32"/>
          <w:lang w:val="en-US" w:eastAsia="zh-CN"/>
        </w:rPr>
        <w:t>2</w:t>
      </w:r>
      <w:r>
        <w:rPr>
          <w:rFonts w:hint="eastAsia" w:ascii="仿宋_GB2312" w:cs="仿宋_GB2312"/>
          <w:szCs w:val="32"/>
        </w:rPr>
        <w:t>份</w:t>
      </w:r>
    </w:p>
    <w:p>
      <w:pPr>
        <w:pStyle w:val="3"/>
        <w:keepNext w:val="0"/>
        <w:keepLines w:val="0"/>
        <w:pageBreakBefore w:val="0"/>
        <w:widowControl w:val="0"/>
        <w:kinsoku/>
        <w:wordWrap/>
        <w:overflowPunct/>
        <w:topLinePunct w:val="0"/>
        <w:bidi w:val="0"/>
        <w:snapToGrid/>
        <w:spacing w:line="400" w:lineRule="exact"/>
        <w:ind w:left="640" w:right="-48" w:rightChars="-15"/>
        <w:jc w:val="left"/>
        <w:textAlignment w:val="auto"/>
        <w:rPr>
          <w:rFonts w:ascii="仿宋_GB2312"/>
          <w:szCs w:val="32"/>
        </w:rPr>
      </w:pPr>
    </w:p>
    <w:p>
      <w:pPr>
        <w:pStyle w:val="3"/>
        <w:keepNext w:val="0"/>
        <w:keepLines w:val="0"/>
        <w:pageBreakBefore w:val="0"/>
        <w:widowControl w:val="0"/>
        <w:kinsoku/>
        <w:wordWrap/>
        <w:overflowPunct/>
        <w:topLinePunct w:val="0"/>
        <w:bidi w:val="0"/>
        <w:snapToGrid/>
        <w:spacing w:line="400" w:lineRule="exact"/>
        <w:ind w:right="1280" w:rightChars="400" w:firstLine="4800" w:firstLineChars="1500"/>
        <w:jc w:val="left"/>
        <w:textAlignment w:val="auto"/>
        <w:rPr>
          <w:rFonts w:ascii="仿宋_GB2312"/>
          <w:szCs w:val="32"/>
        </w:rPr>
      </w:pPr>
      <w:r>
        <w:rPr>
          <w:rFonts w:hint="eastAsia" w:ascii="仿宋_GB2312"/>
          <w:szCs w:val="32"/>
        </w:rPr>
        <w:t>福建省</w:t>
      </w:r>
      <w:r>
        <w:rPr>
          <w:rFonts w:hint="eastAsia" w:ascii="仿宋_GB2312"/>
          <w:szCs w:val="32"/>
          <w:lang w:val="en-US" w:eastAsia="zh-CN"/>
        </w:rPr>
        <w:t>厦门</w:t>
      </w:r>
      <w:r>
        <w:rPr>
          <w:rFonts w:hint="eastAsia" w:ascii="仿宋_GB2312"/>
          <w:szCs w:val="32"/>
        </w:rPr>
        <w:t>监狱</w:t>
      </w:r>
    </w:p>
    <w:p>
      <w:pPr>
        <w:pStyle w:val="3"/>
        <w:keepNext w:val="0"/>
        <w:keepLines w:val="0"/>
        <w:pageBreakBefore w:val="0"/>
        <w:widowControl w:val="0"/>
        <w:kinsoku/>
        <w:wordWrap/>
        <w:overflowPunct/>
        <w:topLinePunct w:val="0"/>
        <w:bidi w:val="0"/>
        <w:snapToGrid/>
        <w:spacing w:line="400" w:lineRule="exact"/>
        <w:ind w:right="1280" w:rightChars="400" w:firstLine="4800" w:firstLineChars="1500"/>
        <w:jc w:val="left"/>
        <w:textAlignment w:val="auto"/>
        <w:rPr>
          <w:rFonts w:ascii="仿宋_GB2312"/>
          <w:szCs w:val="32"/>
        </w:rPr>
      </w:pP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20</w:t>
      </w:r>
      <w:r>
        <w:rPr>
          <w:rFonts w:hint="eastAsia" w:ascii="仿宋_GB231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111"/>
    <w:rsid w:val="00063D1A"/>
    <w:rsid w:val="00154FB5"/>
    <w:rsid w:val="001C0901"/>
    <w:rsid w:val="002F4906"/>
    <w:rsid w:val="003062EB"/>
    <w:rsid w:val="00361DD3"/>
    <w:rsid w:val="003E53CA"/>
    <w:rsid w:val="003F32A2"/>
    <w:rsid w:val="0045263A"/>
    <w:rsid w:val="00475BED"/>
    <w:rsid w:val="004C7111"/>
    <w:rsid w:val="00860AF7"/>
    <w:rsid w:val="009E0AC2"/>
    <w:rsid w:val="00A0077D"/>
    <w:rsid w:val="00D17E84"/>
    <w:rsid w:val="00D42762"/>
    <w:rsid w:val="00EE3277"/>
    <w:rsid w:val="00FD082F"/>
    <w:rsid w:val="059E0BB3"/>
    <w:rsid w:val="07103062"/>
    <w:rsid w:val="0A543B84"/>
    <w:rsid w:val="10DE28D2"/>
    <w:rsid w:val="11C14CF8"/>
    <w:rsid w:val="11FA7D6C"/>
    <w:rsid w:val="152448C0"/>
    <w:rsid w:val="16003545"/>
    <w:rsid w:val="175527FE"/>
    <w:rsid w:val="18AA5EA6"/>
    <w:rsid w:val="1AB10E7B"/>
    <w:rsid w:val="23C3038A"/>
    <w:rsid w:val="2F584ECC"/>
    <w:rsid w:val="3C796573"/>
    <w:rsid w:val="3D62791B"/>
    <w:rsid w:val="3FCE3839"/>
    <w:rsid w:val="571542FF"/>
    <w:rsid w:val="66F20ED6"/>
    <w:rsid w:val="68C773EB"/>
    <w:rsid w:val="746D070D"/>
    <w:rsid w:val="76856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Salutation"/>
    <w:basedOn w:val="1"/>
    <w:next w:val="1"/>
    <w:link w:val="13"/>
    <w:qFormat/>
    <w:uiPriority w:val="99"/>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9">
    <w:name w:val="annotation reference"/>
    <w:basedOn w:val="8"/>
    <w:qFormat/>
    <w:uiPriority w:val="0"/>
    <w:rPr>
      <w:sz w:val="21"/>
      <w:szCs w:val="21"/>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批注文字 字符"/>
    <w:basedOn w:val="8"/>
    <w:link w:val="2"/>
    <w:qFormat/>
    <w:uiPriority w:val="0"/>
    <w:rPr>
      <w:rFonts w:ascii="Times New Roman" w:hAnsi="Times New Roman" w:eastAsia="仿宋_GB2312" w:cs="Times New Roman"/>
      <w:kern w:val="32"/>
      <w:sz w:val="32"/>
      <w:szCs w:val="20"/>
    </w:rPr>
  </w:style>
  <w:style w:type="character" w:customStyle="1" w:styleId="13">
    <w:name w:val="称呼 字符"/>
    <w:basedOn w:val="8"/>
    <w:link w:val="3"/>
    <w:qFormat/>
    <w:uiPriority w:val="99"/>
    <w:rPr>
      <w:rFonts w:ascii="Times New Roman" w:hAnsi="Times New Roman" w:eastAsia="仿宋_GB2312" w:cs="Times New Roman"/>
      <w:kern w:val="32"/>
      <w:sz w:val="32"/>
      <w:szCs w:val="20"/>
    </w:rPr>
  </w:style>
  <w:style w:type="paragraph" w:customStyle="1" w:styleId="14">
    <w:name w:val="列表段落1"/>
    <w:basedOn w:val="1"/>
    <w:qFormat/>
    <w:uiPriority w:val="99"/>
    <w:pPr>
      <w:ind w:firstLine="420" w:firstLineChars="200"/>
    </w:pPr>
  </w:style>
  <w:style w:type="character" w:customStyle="1" w:styleId="15">
    <w:name w:val="批注框文本 字符"/>
    <w:basedOn w:val="8"/>
    <w:link w:val="4"/>
    <w:semiHidden/>
    <w:qFormat/>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C7E01-ECE4-4667-8BD7-555CDB0B07E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378</Words>
  <Characters>2160</Characters>
  <Lines>18</Lines>
  <Paragraphs>5</Paragraphs>
  <TotalTime>5</TotalTime>
  <ScaleCrop>false</ScaleCrop>
  <LinksUpToDate>false</LinksUpToDate>
  <CharactersWithSpaces>2533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2025-06-12T03:47:00Z</dcterms:created>
  <dc:creator>user</dc:creator>
  <cp:lastModifiedBy>陈雯</cp:lastModifiedBy>
  <dcterms:modified xsi:type="dcterms:W3CDTF">2026-04-30T08:42:39Z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B2A8FA6B84FE43709D5F952EED9EC8BB</vt:lpwstr>
  </property>
</Properties>
</file>